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22"/>
        <w:gridCol w:w="4536"/>
      </w:tblGrid>
      <w:tr w:rsidR="00D5662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D56628" w:rsidRDefault="00D56628">
            <w:pPr>
              <w:pStyle w:val="a3"/>
              <w:tabs>
                <w:tab w:val="left" w:pos="7230"/>
              </w:tabs>
              <w:rPr>
                <w:b/>
                <w:sz w:val="12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МИНИСТЕРСТВО </w:t>
            </w:r>
            <w:r>
              <w:rPr>
                <w:b/>
                <w:caps/>
                <w:sz w:val="24"/>
              </w:rPr>
              <w:t>ПРОСВЕЩЕНИЯ</w:t>
            </w:r>
            <w:r>
              <w:rPr>
                <w:b/>
                <w:caps/>
                <w:sz w:val="24"/>
              </w:rPr>
              <w:br/>
            </w:r>
            <w:r>
              <w:rPr>
                <w:b/>
                <w:sz w:val="24"/>
              </w:rPr>
              <w:t>РОССИЙСКОЙ ФЕДЕРАЦИИ</w:t>
            </w:r>
            <w:r>
              <w:rPr>
                <w:b/>
                <w:sz w:val="24"/>
              </w:rPr>
              <w:br/>
            </w:r>
          </w:p>
          <w:p w:rsidR="00D56628" w:rsidRDefault="00D56628">
            <w:pPr>
              <w:pStyle w:val="a3"/>
              <w:tabs>
                <w:tab w:val="left" w:pos="72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(МИНПРОСВЕЩЕНИЯ РОССИИ)</w:t>
            </w:r>
          </w:p>
        </w:tc>
        <w:tc>
          <w:tcPr>
            <w:tcW w:w="722" w:type="dxa"/>
          </w:tcPr>
          <w:p w:rsidR="00D56628" w:rsidRDefault="00D56628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9F06A7" w:rsidRDefault="009F06A7" w:rsidP="009F06A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ФЕДЕРАЛЬНАЯ СЛУЖБА </w:t>
            </w:r>
          </w:p>
          <w:p w:rsidR="009F06A7" w:rsidRDefault="009F06A7" w:rsidP="009F06A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НАДЗОРУ В СФЕРЕ</w:t>
            </w:r>
          </w:p>
          <w:p w:rsidR="009F06A7" w:rsidRDefault="009F06A7" w:rsidP="009F06A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 И НАУКИ</w:t>
            </w:r>
          </w:p>
          <w:p w:rsidR="009F06A7" w:rsidRDefault="009F06A7" w:rsidP="009F06A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378"/>
              <w:jc w:val="center"/>
              <w:rPr>
                <w:b/>
                <w:sz w:val="12"/>
                <w:szCs w:val="12"/>
              </w:rPr>
            </w:pPr>
          </w:p>
          <w:p w:rsidR="00D56628" w:rsidRDefault="009F06A7" w:rsidP="009F06A7">
            <w:pPr>
              <w:tabs>
                <w:tab w:val="left" w:pos="7230"/>
              </w:tabs>
              <w:ind w:right="-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(РОСОБРНАДЗОР)</w:t>
            </w:r>
          </w:p>
        </w:tc>
      </w:tr>
    </w:tbl>
    <w:p w:rsidR="00D56628" w:rsidRDefault="00D56628">
      <w:pPr>
        <w:tabs>
          <w:tab w:val="left" w:pos="7230"/>
        </w:tabs>
        <w:jc w:val="both"/>
        <w:rPr>
          <w:sz w:val="28"/>
        </w:rPr>
      </w:pPr>
    </w:p>
    <w:p w:rsidR="00D56628" w:rsidRDefault="00D56628">
      <w:pPr>
        <w:pStyle w:val="1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D56628" w:rsidRDefault="00D56628">
      <w:pPr>
        <w:spacing w:line="240" w:lineRule="atLeast"/>
        <w:jc w:val="center"/>
        <w:rPr>
          <w:rFonts w:ascii="JournalSans" w:hAnsi="JournalSans"/>
          <w:sz w:val="16"/>
        </w:rPr>
      </w:pPr>
    </w:p>
    <w:p w:rsidR="00FC26F0" w:rsidRPr="00FC26F0" w:rsidRDefault="00FC26F0" w:rsidP="00FC26F0">
      <w:pPr>
        <w:tabs>
          <w:tab w:val="left" w:pos="851"/>
          <w:tab w:val="left" w:pos="3119"/>
          <w:tab w:val="left" w:pos="7650"/>
          <w:tab w:val="left" w:pos="9645"/>
        </w:tabs>
        <w:suppressAutoHyphens/>
        <w:spacing w:line="100" w:lineRule="atLeast"/>
        <w:rPr>
          <w:lang w:eastAsia="zh-CN"/>
        </w:rPr>
      </w:pPr>
      <w:r w:rsidRPr="00FC26F0">
        <w:rPr>
          <w:sz w:val="28"/>
          <w:szCs w:val="28"/>
          <w:lang w:eastAsia="ar-SA"/>
        </w:rPr>
        <w:t xml:space="preserve"> «</w:t>
      </w:r>
      <w:r w:rsidRPr="00FC26F0">
        <w:rPr>
          <w:sz w:val="28"/>
          <w:szCs w:val="28"/>
          <w:u w:val="single"/>
          <w:lang w:val="en-US" w:eastAsia="ar-SA"/>
        </w:rPr>
        <w:t xml:space="preserve"> </w:t>
      </w:r>
      <w:r w:rsidRPr="00FC26F0">
        <w:rPr>
          <w:sz w:val="28"/>
          <w:szCs w:val="28"/>
          <w:u w:val="single"/>
          <w:lang w:eastAsia="ar-SA"/>
        </w:rPr>
        <w:tab/>
      </w:r>
      <w:r w:rsidRPr="00FC26F0">
        <w:rPr>
          <w:sz w:val="28"/>
          <w:szCs w:val="28"/>
          <w:lang w:eastAsia="ar-SA"/>
        </w:rPr>
        <w:t xml:space="preserve">» </w:t>
      </w:r>
      <w:r w:rsidRPr="00FC26F0">
        <w:rPr>
          <w:sz w:val="28"/>
          <w:szCs w:val="28"/>
          <w:u w:val="single"/>
          <w:lang w:eastAsia="ar-SA"/>
        </w:rPr>
        <w:t>МШРГ-</w:t>
      </w:r>
      <w:r w:rsidRPr="00FC26F0">
        <w:rPr>
          <w:sz w:val="28"/>
          <w:szCs w:val="28"/>
          <w:u w:val="single"/>
          <w:lang w:val="x-none" w:eastAsia="ar-SA"/>
        </w:rPr>
        <w:t>4</w:t>
      </w:r>
      <w:r w:rsidRPr="00FC26F0">
        <w:rPr>
          <w:sz w:val="28"/>
          <w:szCs w:val="28"/>
          <w:u w:val="single"/>
          <w:lang w:eastAsia="ar-SA"/>
        </w:rPr>
        <w:tab/>
      </w:r>
      <w:r w:rsidRPr="00FC26F0">
        <w:rPr>
          <w:sz w:val="28"/>
          <w:szCs w:val="28"/>
          <w:lang w:eastAsia="ar-SA"/>
        </w:rPr>
        <w:t xml:space="preserve"> </w:t>
      </w:r>
      <w:r w:rsidRPr="00FC26F0">
        <w:rPr>
          <w:sz w:val="28"/>
          <w:szCs w:val="28"/>
          <w:lang w:val="en-US" w:eastAsia="ar-SA"/>
        </w:rPr>
        <w:t>20</w:t>
      </w:r>
      <w:r w:rsidRPr="00FC26F0">
        <w:rPr>
          <w:sz w:val="28"/>
          <w:szCs w:val="28"/>
          <w:lang w:eastAsia="ar-SA"/>
        </w:rPr>
        <w:t>20 г.</w:t>
      </w:r>
      <w:r w:rsidRPr="00FC26F0">
        <w:rPr>
          <w:sz w:val="28"/>
          <w:szCs w:val="28"/>
          <w:lang w:eastAsia="ar-SA"/>
        </w:rPr>
        <w:tab/>
        <w:t>№</w:t>
      </w:r>
      <w:r w:rsidRPr="00FC26F0">
        <w:rPr>
          <w:sz w:val="28"/>
          <w:szCs w:val="28"/>
          <w:lang w:val="en-US" w:eastAsia="ar-SA"/>
        </w:rPr>
        <w:t xml:space="preserve"> </w:t>
      </w:r>
      <w:r w:rsidRPr="00FC26F0">
        <w:rPr>
          <w:sz w:val="28"/>
          <w:szCs w:val="28"/>
          <w:u w:val="single"/>
          <w:lang w:val="en-US" w:eastAsia="ar-SA"/>
        </w:rPr>
        <w:t xml:space="preserve"> </w:t>
      </w:r>
      <w:r w:rsidRPr="00FC26F0">
        <w:rPr>
          <w:sz w:val="28"/>
          <w:szCs w:val="28"/>
          <w:u w:val="single"/>
          <w:lang w:eastAsia="ar-SA"/>
        </w:rPr>
        <w:tab/>
      </w:r>
    </w:p>
    <w:p w:rsidR="00D56628" w:rsidRDefault="00D56628">
      <w:pPr>
        <w:tabs>
          <w:tab w:val="left" w:pos="1134"/>
        </w:tabs>
        <w:suppressAutoHyphens/>
        <w:spacing w:line="100" w:lineRule="atLeast"/>
        <w:jc w:val="center"/>
        <w:rPr>
          <w:sz w:val="16"/>
          <w:lang w:eastAsia="ar-SA"/>
        </w:rPr>
      </w:pPr>
    </w:p>
    <w:p w:rsidR="00D56628" w:rsidRDefault="00D56628">
      <w:pPr>
        <w:tabs>
          <w:tab w:val="left" w:pos="1276"/>
        </w:tabs>
        <w:suppressAutoHyphens/>
        <w:spacing w:line="100" w:lineRule="atLeast"/>
        <w:jc w:val="center"/>
        <w:rPr>
          <w:sz w:val="28"/>
          <w:lang w:eastAsia="ar-SA"/>
        </w:rPr>
      </w:pPr>
      <w:r>
        <w:rPr>
          <w:sz w:val="28"/>
          <w:lang w:eastAsia="ar-SA"/>
        </w:rPr>
        <w:t>Москва</w:t>
      </w:r>
    </w:p>
    <w:p w:rsidR="00D56628" w:rsidRDefault="00D56628"/>
    <w:p w:rsidR="00D56628" w:rsidRDefault="00D56628"/>
    <w:p w:rsidR="00A810BB" w:rsidRDefault="00A810BB" w:rsidP="00A810BB">
      <w:pPr>
        <w:tabs>
          <w:tab w:val="left" w:pos="-1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единого расписания </w:t>
      </w:r>
      <w:r>
        <w:rPr>
          <w:b/>
          <w:sz w:val="28"/>
          <w:szCs w:val="28"/>
        </w:rPr>
        <w:br/>
        <w:t xml:space="preserve">и продолжительности проведения основного государственного экзамена </w:t>
      </w:r>
      <w:r>
        <w:rPr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 при его проведении в 2021 году</w:t>
      </w:r>
    </w:p>
    <w:p w:rsidR="00A810BB" w:rsidRDefault="00A810BB" w:rsidP="00A810BB">
      <w:pPr>
        <w:jc w:val="center"/>
        <w:rPr>
          <w:sz w:val="24"/>
        </w:rPr>
      </w:pPr>
    </w:p>
    <w:p w:rsidR="00A810BB" w:rsidRPr="0096039C" w:rsidRDefault="00A810BB" w:rsidP="00A810B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</w:rPr>
        <w:t xml:space="preserve">В соответствии </w:t>
      </w:r>
      <w:r w:rsidRPr="0096039C">
        <w:rPr>
          <w:sz w:val="28"/>
        </w:rPr>
        <w:t xml:space="preserve">с </w:t>
      </w:r>
      <w:hyperlink r:id="rId5" w:history="1">
        <w:r w:rsidRPr="0096039C">
          <w:rPr>
            <w:rStyle w:val="a4"/>
            <w:color w:val="auto"/>
            <w:sz w:val="28"/>
            <w:u w:val="none"/>
          </w:rPr>
          <w:t>частью 5 статьи 59</w:t>
        </w:r>
      </w:hyperlink>
      <w:r w:rsidRPr="0096039C">
        <w:rPr>
          <w:sz w:val="28"/>
        </w:rPr>
        <w:t xml:space="preserve"> Федерального закона </w:t>
      </w:r>
      <w:r w:rsidRPr="0096039C">
        <w:rPr>
          <w:sz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r w:rsidRPr="0096039C">
        <w:rPr>
          <w:sz w:val="28"/>
        </w:rPr>
        <w:br/>
        <w:t xml:space="preserve">2019, № 30, ст. 4134), </w:t>
      </w:r>
      <w:r w:rsidR="00B339A7" w:rsidRPr="0096039C">
        <w:rPr>
          <w:sz w:val="28"/>
        </w:rPr>
        <w:t xml:space="preserve">пунктом 1 и </w:t>
      </w:r>
      <w:hyperlink r:id="rId6" w:history="1">
        <w:r w:rsidRPr="0096039C">
          <w:rPr>
            <w:rStyle w:val="a4"/>
            <w:color w:val="auto"/>
            <w:sz w:val="28"/>
            <w:u w:val="none"/>
          </w:rPr>
          <w:t>подпунктом 4.2.25</w:t>
        </w:r>
      </w:hyperlink>
      <w:r w:rsidRPr="0096039C">
        <w:rPr>
          <w:sz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proofErr w:type="gramStart"/>
      <w:r w:rsidRPr="0096039C">
        <w:rPr>
          <w:sz w:val="28"/>
        </w:rPr>
        <w:t xml:space="preserve">2019, № 51, ст. 7631), </w:t>
      </w:r>
      <w:r w:rsidR="00B339A7" w:rsidRPr="0096039C">
        <w:rPr>
          <w:sz w:val="28"/>
        </w:rPr>
        <w:t xml:space="preserve">пунктом 1 и </w:t>
      </w:r>
      <w:hyperlink r:id="rId7" w:history="1">
        <w:r w:rsidRPr="0096039C">
          <w:rPr>
            <w:rStyle w:val="a4"/>
            <w:color w:val="auto"/>
            <w:sz w:val="28"/>
            <w:u w:val="none"/>
          </w:rPr>
          <w:t>подпунктом 5.2.7</w:t>
        </w:r>
      </w:hyperlink>
      <w:r w:rsidRPr="0096039C">
        <w:rPr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7643), приказываем:</w:t>
      </w:r>
      <w:proofErr w:type="gramEnd"/>
    </w:p>
    <w:p w:rsidR="00A810BB" w:rsidRPr="0096039C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96039C">
        <w:rPr>
          <w:sz w:val="28"/>
        </w:rPr>
        <w:t>1. Утвердить следующее расписание проведения основного государственного экзамена (далее – ОГЭ) в 2021 году:</w:t>
      </w:r>
    </w:p>
    <w:p w:rsidR="00A810BB" w:rsidRPr="0096039C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96039C">
        <w:rPr>
          <w:sz w:val="28"/>
        </w:rPr>
        <w:t xml:space="preserve">1.1. </w:t>
      </w:r>
      <w:proofErr w:type="gramStart"/>
      <w:r w:rsidRPr="0096039C">
        <w:rPr>
          <w:sz w:val="28"/>
        </w:rPr>
        <w:t xml:space="preserve">Для лиц, указанных в </w:t>
      </w:r>
      <w:hyperlink r:id="rId8" w:history="1">
        <w:r w:rsidRPr="0096039C">
          <w:rPr>
            <w:rStyle w:val="a4"/>
            <w:color w:val="auto"/>
            <w:sz w:val="28"/>
            <w:u w:val="none"/>
          </w:rPr>
          <w:t>пунктах 5</w:t>
        </w:r>
      </w:hyperlink>
      <w:r w:rsidRPr="0096039C">
        <w:rPr>
          <w:sz w:val="28"/>
        </w:rPr>
        <w:t xml:space="preserve">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Pr="0096039C">
        <w:rPr>
          <w:sz w:val="28"/>
        </w:rPr>
        <w:br/>
        <w:t xml:space="preserve">и науки от 7 ноября 2018 г. № 189/1513 (зарегистрирован Министерством юстиции Российской Федерации 10 декабря 2018 г., регистрационный № 52953) </w:t>
      </w:r>
      <w:r w:rsidRPr="0096039C">
        <w:rPr>
          <w:sz w:val="28"/>
        </w:rPr>
        <w:br/>
        <w:t>(далее – Порядок проведения ГИА):</w:t>
      </w:r>
      <w:proofErr w:type="gramEnd"/>
    </w:p>
    <w:p w:rsidR="00A810BB" w:rsidRPr="0096039C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96039C">
        <w:rPr>
          <w:sz w:val="28"/>
        </w:rPr>
        <w:lastRenderedPageBreak/>
        <w:t>21 мая (пятница) – иностранные языки (английский, французский, немецкий, испанский);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96039C">
        <w:rPr>
          <w:sz w:val="28"/>
        </w:rPr>
        <w:t>22 мая (суббота) – иностранные языки</w:t>
      </w:r>
      <w:r>
        <w:rPr>
          <w:sz w:val="28"/>
        </w:rPr>
        <w:t xml:space="preserve"> (английский, французский, немецкий, испанский);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25 мая (вторник) – история, физика, биология, химия;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28 мая (пятница) – обществознание;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1 июня (вторник) – биология, информатика и информационно-коммуникационные технологии (ИКТ), география, химия;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4 июня (пятница) – русский язык;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8 июня (вторник) – математика;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11 июня (пятница) – литература, физика, информатика и информационно-коммуникационные технологии (ИКТ), география;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1.2. Для лиц, указанных в пункте 38 Порядка проведения ГИА: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20 апреля (вторник) – математика;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23 апреля (пятница) – русский язык;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26 апреля (понедельник) – информатика и информационно-коммуникационные технологии (ИКТ), обществознание, химия, литература;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29 апреля (четверг)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1.3. Для лиц, указанных в пунктах 37 и 42 Порядка проведения ГИА: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4 мая (вторник) – математика;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5 мая (среда)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6 мая (четверг) – информатика и информационно-коммуникационные технологии (ИКТ), обществознание, химия, литература;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11 мая (вторник) – русский язык;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14 мая (пятница) – по всем учебным предметам;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22 июня (вторник)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23 июня (среда) – русский язык;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24 июня (четверг)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28 июня (понедельник) – математика;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29 июня (вторник) – по всем учебным предметам;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 июля (четверг) – по всем учебным предметам;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16 сентября (четверг) – русский язык;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17 сентября (пятница)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20 сентября (понедельник) – математика;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21 сентября (вторник)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22 сентября (среда) – по всем учебным предметам;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1.4. Для лиц, указанных в пункте 76 Порядка проведения ГИА: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 сентября (пятница) – русский язык;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6 сентября (понедельник) – математика;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9 сентября (четверг) – история, биология, физика, география;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13 сентября (понедельник) – обществознание, химия, информатика </w:t>
      </w:r>
      <w:r>
        <w:rPr>
          <w:sz w:val="28"/>
        </w:rPr>
        <w:br/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 Установить, что: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2.1. ОГЭ по всем учебным предметам начинается в 10.00 по местному времени;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2.2. </w:t>
      </w:r>
      <w:proofErr w:type="gramStart"/>
      <w:r>
        <w:rPr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биологии, химии – 3 часа (180 минут); по информатике и информационно-коммуникационным технологиям (ИКТ), географии – 2 часа 30 минут (150 минут); иностранным языкам (английский, французский, немецкий, испанский) </w:t>
      </w:r>
      <w:r>
        <w:rPr>
          <w:sz w:val="28"/>
        </w:rPr>
        <w:br/>
        <w:t>(кроме раздела «Говорение») – 2 часа (120 минут);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2.3. Участники экзаменов используют средства обучения и воспитания </w:t>
      </w:r>
      <w:r>
        <w:rPr>
          <w:sz w:val="28"/>
        </w:rPr>
        <w:br/>
        <w:t xml:space="preserve">для выполнения заданий контрольных измерительных материалов </w:t>
      </w:r>
      <w:r>
        <w:rPr>
          <w:sz w:val="28"/>
        </w:rPr>
        <w:br/>
        <w:t>ОГЭ (далее – КИМ ОГЭ) в аудиториях пункта проведения экзаменов.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русскому языку – орфографические словари, позволяющие устанавливать нормативное написание слов;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математике – линейка, не содержащая справочной информации </w:t>
      </w:r>
      <w:r>
        <w:rPr>
          <w:sz w:val="28"/>
        </w:rPr>
        <w:br/>
        <w:t>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физике – линейка для построения графиков, оптических и электрических схем; </w:t>
      </w:r>
      <w:proofErr w:type="gramStart"/>
      <w:r>
        <w:rPr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sz w:val="28"/>
        </w:rPr>
        <w:t>sin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cos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ctg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arcsin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arccos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arctg</w:t>
      </w:r>
      <w:proofErr w:type="spellEnd"/>
      <w:r>
        <w:rPr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>
        <w:rPr>
          <w:sz w:val="28"/>
        </w:rPr>
        <w:br/>
        <w:t xml:space="preserve">(в том числе к информационно-телекоммуникационной сети «Интернет») </w:t>
      </w:r>
      <w:r>
        <w:rPr>
          <w:sz w:val="28"/>
        </w:rPr>
        <w:br/>
        <w:t>(далее – непрограммируемый калькулятор);</w:t>
      </w:r>
      <w:proofErr w:type="gramEnd"/>
      <w:r>
        <w:rPr>
          <w:sz w:val="28"/>
        </w:rPr>
        <w:t xml:space="preserve"> лабораторное оборудование </w:t>
      </w:r>
      <w:r w:rsidR="0096039C">
        <w:rPr>
          <w:sz w:val="28"/>
        </w:rPr>
        <w:br/>
      </w:r>
      <w:r>
        <w:rPr>
          <w:sz w:val="28"/>
        </w:rPr>
        <w:t>для выполнения экспериментальн</w:t>
      </w:r>
      <w:r w:rsidR="0096039C">
        <w:rPr>
          <w:sz w:val="28"/>
        </w:rPr>
        <w:t>ых</w:t>
      </w:r>
      <w:r>
        <w:rPr>
          <w:sz w:val="28"/>
        </w:rPr>
        <w:t xml:space="preserve"> задани</w:t>
      </w:r>
      <w:r w:rsidR="0096039C">
        <w:rPr>
          <w:sz w:val="28"/>
        </w:rPr>
        <w:t>й</w:t>
      </w:r>
      <w:r>
        <w:rPr>
          <w:sz w:val="28"/>
        </w:rPr>
        <w:t xml:space="preserve"> </w:t>
      </w:r>
      <w:r w:rsidR="0096039C" w:rsidRPr="0096039C">
        <w:rPr>
          <w:sz w:val="28"/>
        </w:rPr>
        <w:t xml:space="preserve">КИМ ОГЭ </w:t>
      </w:r>
      <w:r>
        <w:rPr>
          <w:sz w:val="28"/>
        </w:rPr>
        <w:t>по проведению измерения физических величин;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химии – непрограммируемый калькулятор; лабораторное оборудование </w:t>
      </w:r>
      <w:r>
        <w:rPr>
          <w:sz w:val="28"/>
        </w:rPr>
        <w:br/>
        <w:t>для проведения химических опытов, предусмотренных заданиями</w:t>
      </w:r>
      <w:r w:rsidR="0096039C" w:rsidRPr="0096039C">
        <w:rPr>
          <w:sz w:val="28"/>
        </w:rPr>
        <w:t xml:space="preserve"> </w:t>
      </w:r>
      <w:r w:rsidR="0096039C">
        <w:rPr>
          <w:sz w:val="28"/>
        </w:rPr>
        <w:t>КИМ ОГЭ</w:t>
      </w:r>
      <w:r>
        <w:rPr>
          <w:sz w:val="28"/>
        </w:rPr>
        <w:t>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биологии – линейка для проведения измерений при выполнении заданий </w:t>
      </w:r>
      <w:r>
        <w:rPr>
          <w:sz w:val="28"/>
        </w:rPr>
        <w:br/>
      </w:r>
      <w:r w:rsidR="0096039C" w:rsidRPr="0096039C">
        <w:rPr>
          <w:sz w:val="28"/>
        </w:rPr>
        <w:t xml:space="preserve">КИМ ОГЭ </w:t>
      </w:r>
      <w:r>
        <w:rPr>
          <w:sz w:val="28"/>
        </w:rPr>
        <w:t>с рисунками; непрограммируемый калькулятор;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по литературе –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</w:t>
      </w:r>
      <w:r w:rsidR="0096039C" w:rsidRPr="0096039C">
        <w:rPr>
          <w:sz w:val="28"/>
        </w:rPr>
        <w:t xml:space="preserve"> </w:t>
      </w:r>
      <w:r w:rsidR="0096039C">
        <w:rPr>
          <w:sz w:val="28"/>
        </w:rPr>
        <w:t>КИМ ОГЭ</w:t>
      </w:r>
      <w:r>
        <w:rPr>
          <w:sz w:val="28"/>
        </w:rPr>
        <w:t>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sz w:val="28"/>
        </w:rPr>
        <w:br/>
        <w:t>для выполнения заданий раздела «</w:t>
      </w: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>
        <w:rPr>
          <w:sz w:val="28"/>
        </w:rPr>
        <w:t>аудиогарнитура</w:t>
      </w:r>
      <w:proofErr w:type="spellEnd"/>
      <w:r>
        <w:rPr>
          <w:sz w:val="28"/>
        </w:rPr>
        <w:t xml:space="preserve"> для выполнения заданий раздела «Говорение» КИМ ОГЭ;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информатике и информационно-коммуникационным технологиям </w:t>
      </w:r>
      <w:r>
        <w:rPr>
          <w:sz w:val="28"/>
        </w:rPr>
        <w:br/>
        <w:t>(ИКТ) – компьютерная техника, не имеющая доступ к информационно-телекоммуникационной сети «Интернет».</w:t>
      </w:r>
    </w:p>
    <w:p w:rsidR="00A810BB" w:rsidRDefault="00A810BB" w:rsidP="00A810B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A810BB" w:rsidRDefault="00A810BB" w:rsidP="00A810B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A810BB" w:rsidRDefault="00A810BB" w:rsidP="00A810B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789"/>
        <w:gridCol w:w="1277"/>
        <w:gridCol w:w="4254"/>
      </w:tblGrid>
      <w:tr w:rsidR="00A810BB" w:rsidTr="00A810BB">
        <w:tc>
          <w:tcPr>
            <w:tcW w:w="4789" w:type="dxa"/>
            <w:hideMark/>
          </w:tcPr>
          <w:p w:rsidR="00A810BB" w:rsidRDefault="00A810BB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 xml:space="preserve">Министр просвещения </w:t>
            </w:r>
          </w:p>
          <w:p w:rsidR="00A810BB" w:rsidRDefault="00A810BB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</w:tc>
        <w:tc>
          <w:tcPr>
            <w:tcW w:w="1277" w:type="dxa"/>
          </w:tcPr>
          <w:p w:rsidR="00A810BB" w:rsidRDefault="00A810B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4254" w:type="dxa"/>
            <w:hideMark/>
          </w:tcPr>
          <w:p w:rsidR="00A810BB" w:rsidRDefault="00A810B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Руководитель </w:t>
            </w:r>
            <w:r>
              <w:rPr>
                <w:rFonts w:eastAsia="Calibri"/>
                <w:spacing w:val="-2"/>
                <w:sz w:val="28"/>
                <w:szCs w:val="24"/>
              </w:rPr>
              <w:t>Федеральной службы по надзору</w:t>
            </w:r>
            <w:r>
              <w:rPr>
                <w:rFonts w:eastAsia="Calibri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A810BB" w:rsidTr="00A810BB">
        <w:tc>
          <w:tcPr>
            <w:tcW w:w="4789" w:type="dxa"/>
          </w:tcPr>
          <w:p w:rsidR="00A810BB" w:rsidRDefault="00A810BB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16"/>
              </w:rPr>
              <w:t>МШЭП-2</w:t>
            </w:r>
          </w:p>
          <w:p w:rsidR="00A810BB" w:rsidRDefault="00A810BB">
            <w:pPr>
              <w:tabs>
                <w:tab w:val="left" w:pos="1701"/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A810BB" w:rsidRDefault="00A810BB">
            <w:pPr>
              <w:tabs>
                <w:tab w:val="left" w:pos="1701"/>
                <w:tab w:val="left" w:pos="7230"/>
              </w:tabs>
              <w:rPr>
                <w:sz w:val="28"/>
              </w:rPr>
            </w:pPr>
          </w:p>
          <w:p w:rsidR="00A810BB" w:rsidRDefault="00A810BB">
            <w:pPr>
              <w:tabs>
                <w:tab w:val="left" w:pos="1701"/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С.С. Кравцов</w:t>
            </w:r>
          </w:p>
        </w:tc>
        <w:tc>
          <w:tcPr>
            <w:tcW w:w="1277" w:type="dxa"/>
          </w:tcPr>
          <w:p w:rsidR="00A810BB" w:rsidRDefault="00A810B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4254" w:type="dxa"/>
          </w:tcPr>
          <w:p w:rsidR="00A810BB" w:rsidRDefault="00A810BB">
            <w:pPr>
              <w:tabs>
                <w:tab w:val="left" w:pos="2019"/>
                <w:tab w:val="left" w:pos="7230"/>
              </w:tabs>
              <w:rPr>
                <w:sz w:val="28"/>
              </w:rPr>
            </w:pPr>
          </w:p>
          <w:p w:rsidR="00A810BB" w:rsidRDefault="00A810BB">
            <w:pPr>
              <w:tabs>
                <w:tab w:val="left" w:pos="2019"/>
                <w:tab w:val="left" w:pos="7230"/>
              </w:tabs>
              <w:rPr>
                <w:sz w:val="28"/>
              </w:rPr>
            </w:pPr>
          </w:p>
          <w:p w:rsidR="00A810BB" w:rsidRDefault="00A810BB">
            <w:pPr>
              <w:tabs>
                <w:tab w:val="left" w:pos="2019"/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    А.А. Музаев</w:t>
            </w:r>
          </w:p>
        </w:tc>
      </w:tr>
    </w:tbl>
    <w:p w:rsidR="00D56628" w:rsidRPr="007D4DAB" w:rsidRDefault="00D56628">
      <w:pPr>
        <w:jc w:val="both"/>
        <w:rPr>
          <w:sz w:val="28"/>
          <w:szCs w:val="28"/>
        </w:rPr>
      </w:pPr>
    </w:p>
    <w:p w:rsidR="00D56628" w:rsidRPr="007D4DAB" w:rsidRDefault="00D56628">
      <w:pPr>
        <w:rPr>
          <w:sz w:val="28"/>
          <w:szCs w:val="28"/>
        </w:rPr>
      </w:pPr>
    </w:p>
    <w:sectPr w:rsidR="00D56628" w:rsidRPr="007D4DAB"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03"/>
    <w:rsid w:val="001F4A73"/>
    <w:rsid w:val="003C4003"/>
    <w:rsid w:val="004E4A99"/>
    <w:rsid w:val="007202C4"/>
    <w:rsid w:val="007D4DAB"/>
    <w:rsid w:val="0096039C"/>
    <w:rsid w:val="009B5E79"/>
    <w:rsid w:val="009F06A7"/>
    <w:rsid w:val="00A616B2"/>
    <w:rsid w:val="00A810BB"/>
    <w:rsid w:val="00AF1D52"/>
    <w:rsid w:val="00B339A7"/>
    <w:rsid w:val="00CE63EE"/>
    <w:rsid w:val="00D56628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pPr>
      <w:jc w:val="center"/>
    </w:pPr>
    <w:rPr>
      <w:sz w:val="28"/>
    </w:rPr>
  </w:style>
  <w:style w:type="paragraph" w:customStyle="1" w:styleId="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character" w:styleId="a4">
    <w:name w:val="Hyperlink"/>
    <w:uiPriority w:val="99"/>
    <w:semiHidden/>
    <w:unhideWhenUsed/>
    <w:rsid w:val="00A81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pPr>
      <w:jc w:val="center"/>
    </w:pPr>
    <w:rPr>
      <w:sz w:val="28"/>
    </w:rPr>
  </w:style>
  <w:style w:type="paragraph" w:customStyle="1" w:styleId="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character" w:styleId="a4">
    <w:name w:val="Hyperlink"/>
    <w:uiPriority w:val="99"/>
    <w:semiHidden/>
    <w:unhideWhenUsed/>
    <w:rsid w:val="00A81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5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Links>
    <vt:vector size="24" baseType="variant">
      <vt:variant>
        <vt:i4>6422635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consultantplus://offline/ref=4034CF97E9073F0A017303583EA54B147964980410959FEE7338E8D4E276BE4074FAFAE9170C577B3793C0E60752670DB298BC7E9E9C486Bh0w0H</vt:lpwstr>
      </vt:variant>
      <vt:variant>
        <vt:lpwstr/>
      </vt:variant>
      <vt:variant>
        <vt:i4>6422576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consultantplus://offline/ref=4034CF97E9073F0A017303583EA54B1479609A0E159E9FEE7338E8D4E276BE4074FAFAE9170C577A3693C0E60752670DB298BC7E9E9C486Bh0w0H</vt:lpwstr>
      </vt:variant>
      <vt:variant>
        <vt:lpwstr/>
      </vt:variant>
      <vt:variant>
        <vt:i4>6422576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consultantplus://offline/ref=4034CF97E9073F0A017303583EA54B1479619C0215929FEE7338E8D4E276BE4074FAFAE9170C577C3793C0E60752670DB298BC7E9E9C486Bh0w0H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consultantplus://offline/ref=4034CF97E9073F0A017303583EA54B1479609A0418909FEE7338E8D4E276BE4074FAFAEA13095C2C60DCC1BA4200740CBC98BE7782h9wEH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2018-08-02T06:04:00Z</cp:lastPrinted>
  <dcterms:created xsi:type="dcterms:W3CDTF">2020-10-10T15:31:00Z</dcterms:created>
  <dcterms:modified xsi:type="dcterms:W3CDTF">2020-10-10T15:31:00Z</dcterms:modified>
</cp:coreProperties>
</file>